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2C" w:rsidRDefault="00B04B2C" w:rsidP="00B04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this activity we can incorporate mathematics into science. </w:t>
      </w:r>
      <w:r w:rsidR="00E91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Graphing and understanding trends in the data we collect on phenophases can help us to better understand the impacts of climate change.</w:t>
      </w:r>
      <w:r w:rsidR="00E91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D80">
        <w:rPr>
          <w:rFonts w:ascii="Times New Roman" w:hAnsi="Times New Roman" w:cs="Times New Roman"/>
          <w:sz w:val="24"/>
          <w:szCs w:val="24"/>
        </w:rPr>
        <w:t>Here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D80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activity for you to try, which includes real data that has been collected in the Great Smoky Mountains National Park. </w:t>
      </w:r>
    </w:p>
    <w:p w:rsidR="00AD6092" w:rsidRPr="005D382A" w:rsidRDefault="00AD6092" w:rsidP="00AD60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82A">
        <w:rPr>
          <w:rFonts w:ascii="Times New Roman" w:hAnsi="Times New Roman" w:cs="Times New Roman"/>
          <w:b/>
          <w:sz w:val="24"/>
          <w:szCs w:val="24"/>
          <w:u w:val="single"/>
        </w:rPr>
        <w:t>Part 1: Observing and Understanding Graphs</w:t>
      </w:r>
    </w:p>
    <w:p w:rsidR="00AD6092" w:rsidRDefault="00AD6092" w:rsidP="00AD609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356235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D382A" w:rsidRDefault="00AD6092" w:rsidP="00AD609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Q1. Which flower is described in this graph? </w:t>
      </w:r>
      <w:r w:rsidR="00E91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Where did you find this answer? </w:t>
      </w:r>
    </w:p>
    <w:p w:rsidR="00AD6092" w:rsidRDefault="00AD6092" w:rsidP="00AD609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D382A" w:rsidRDefault="005D382A" w:rsidP="00AD6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6092" w:rsidRDefault="00AD6092" w:rsidP="00AD6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Q2. What </w:t>
      </w:r>
      <w:r w:rsidR="00EB308A">
        <w:rPr>
          <w:rFonts w:ascii="Times New Roman" w:hAnsi="Times New Roman" w:cs="Times New Roman"/>
          <w:sz w:val="24"/>
          <w:szCs w:val="24"/>
        </w:rPr>
        <w:t xml:space="preserve">type of graph is this? </w:t>
      </w:r>
    </w:p>
    <w:p w:rsidR="005D382A" w:rsidRPr="005D382A" w:rsidRDefault="005D382A" w:rsidP="00AD6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308A" w:rsidRDefault="00EB308A" w:rsidP="00AD609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Q3. What is this graph illustrating? </w:t>
      </w:r>
    </w:p>
    <w:p w:rsidR="00EB308A" w:rsidRDefault="00EB308A" w:rsidP="00AD609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D382A" w:rsidRDefault="00EB308A" w:rsidP="00AD609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</w:t>
      </w:r>
      <w:r w:rsidR="00AD6092">
        <w:rPr>
          <w:rFonts w:ascii="Times New Roman" w:hAnsi="Times New Roman" w:cs="Times New Roman"/>
          <w:sz w:val="24"/>
          <w:szCs w:val="24"/>
        </w:rPr>
        <w:t xml:space="preserve">. What are the key characteristics of the graph that allow you to identify what it is illustrating? </w:t>
      </w:r>
    </w:p>
    <w:p w:rsidR="00AD6092" w:rsidRDefault="00AD6092" w:rsidP="00AD609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D6092" w:rsidRDefault="005D382A" w:rsidP="00AD609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AD609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D382A" w:rsidRDefault="00EB308A" w:rsidP="00AD609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Q5</w:t>
      </w:r>
      <w:r w:rsidR="00AD6092">
        <w:rPr>
          <w:rFonts w:ascii="Times New Roman" w:hAnsi="Times New Roman" w:cs="Times New Roman"/>
          <w:sz w:val="24"/>
          <w:szCs w:val="24"/>
        </w:rPr>
        <w:t>. What could we add to the graph to give us more information about the data?</w:t>
      </w:r>
    </w:p>
    <w:p w:rsidR="005D382A" w:rsidRDefault="005D382A" w:rsidP="00AD609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D6092" w:rsidRDefault="00AD6092" w:rsidP="00AD6092">
      <w:pPr>
        <w:rPr>
          <w:rFonts w:ascii="Times New Roman" w:hAnsi="Times New Roman" w:cs="Times New Roman"/>
          <w:sz w:val="24"/>
          <w:szCs w:val="24"/>
        </w:rPr>
      </w:pPr>
    </w:p>
    <w:p w:rsidR="00EB308A" w:rsidRDefault="00EB308A" w:rsidP="00AD6092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B308A" w:rsidRDefault="00EB308A" w:rsidP="00AD6092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5344B" w:rsidRDefault="00F95F15" w:rsidP="00AD6092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Q6</w:t>
      </w:r>
      <w:r w:rsidR="00AD6092" w:rsidRPr="00AD6092">
        <w:rPr>
          <w:rFonts w:ascii="Times New Roman" w:hAnsi="Times New Roman" w:cs="Times New Roman"/>
          <w:sz w:val="24"/>
          <w:szCs w:val="24"/>
        </w:rPr>
        <w:t xml:space="preserve">. What </w:t>
      </w:r>
      <w:r w:rsidR="00EB308A">
        <w:rPr>
          <w:rFonts w:ascii="Times New Roman" w:hAnsi="Times New Roman" w:cs="Times New Roman"/>
          <w:sz w:val="24"/>
          <w:szCs w:val="24"/>
        </w:rPr>
        <w:t xml:space="preserve">is a trend line? </w:t>
      </w:r>
      <w:r w:rsidR="00E91D80">
        <w:rPr>
          <w:rFonts w:ascii="Times New Roman" w:hAnsi="Times New Roman" w:cs="Times New Roman"/>
          <w:sz w:val="24"/>
          <w:szCs w:val="24"/>
        </w:rPr>
        <w:t xml:space="preserve"> </w:t>
      </w:r>
      <w:r w:rsidR="00EB308A">
        <w:rPr>
          <w:rFonts w:ascii="Times New Roman" w:hAnsi="Times New Roman" w:cs="Times New Roman"/>
          <w:sz w:val="24"/>
          <w:szCs w:val="24"/>
        </w:rPr>
        <w:t xml:space="preserve">What </w:t>
      </w:r>
      <w:r w:rsidR="00AD6092" w:rsidRPr="00AD6092">
        <w:rPr>
          <w:rFonts w:ascii="Times New Roman" w:hAnsi="Times New Roman" w:cs="Times New Roman"/>
          <w:sz w:val="24"/>
          <w:szCs w:val="24"/>
        </w:rPr>
        <w:t>will a t</w:t>
      </w:r>
      <w:r w:rsidR="00AD6092">
        <w:rPr>
          <w:rFonts w:ascii="Times New Roman" w:hAnsi="Times New Roman" w:cs="Times New Roman"/>
          <w:sz w:val="24"/>
          <w:szCs w:val="24"/>
        </w:rPr>
        <w:t xml:space="preserve">rend line tell us about the Carolina </w:t>
      </w:r>
      <w:proofErr w:type="spellStart"/>
      <w:r w:rsidR="00AD6092">
        <w:rPr>
          <w:rFonts w:ascii="Times New Roman" w:hAnsi="Times New Roman" w:cs="Times New Roman"/>
          <w:sz w:val="24"/>
          <w:szCs w:val="24"/>
        </w:rPr>
        <w:t>Springbeauty</w:t>
      </w:r>
      <w:proofErr w:type="spellEnd"/>
      <w:r w:rsidR="00AD609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B308A" w:rsidRDefault="00EB308A" w:rsidP="00AD6092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D6092" w:rsidRDefault="00AD6092" w:rsidP="00AD6092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D382A" w:rsidRDefault="005D382A" w:rsidP="00AD609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0EDC" w:rsidRPr="005D382A" w:rsidRDefault="00430EDC" w:rsidP="00AD60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D382A">
        <w:rPr>
          <w:rFonts w:ascii="Times New Roman" w:hAnsi="Times New Roman" w:cs="Times New Roman"/>
          <w:b/>
          <w:sz w:val="24"/>
          <w:szCs w:val="24"/>
          <w:u w:val="single"/>
        </w:rPr>
        <w:t>Part 2.</w:t>
      </w:r>
      <w:proofErr w:type="gramEnd"/>
      <w:r w:rsidRPr="005D382A">
        <w:rPr>
          <w:rFonts w:ascii="Times New Roman" w:hAnsi="Times New Roman" w:cs="Times New Roman"/>
          <w:b/>
          <w:sz w:val="24"/>
          <w:szCs w:val="24"/>
          <w:u w:val="single"/>
        </w:rPr>
        <w:t xml:space="preserve"> Graph Interpretation and Data Analysis</w:t>
      </w:r>
    </w:p>
    <w:p w:rsidR="00430EDC" w:rsidRDefault="00430EDC" w:rsidP="00AD6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 graph data for only 2011 of the Car</w:t>
      </w:r>
      <w:r w:rsidR="00F95F15">
        <w:rPr>
          <w:rFonts w:ascii="Times New Roman" w:hAnsi="Times New Roman" w:cs="Times New Roman"/>
          <w:sz w:val="24"/>
          <w:szCs w:val="24"/>
        </w:rPr>
        <w:t>olina Spring</w:t>
      </w:r>
      <w:r w:rsidR="0043754A">
        <w:rPr>
          <w:rFonts w:ascii="Times New Roman" w:hAnsi="Times New Roman" w:cs="Times New Roman"/>
          <w:sz w:val="24"/>
          <w:szCs w:val="24"/>
        </w:rPr>
        <w:t xml:space="preserve"> B</w:t>
      </w:r>
      <w:r w:rsidR="00F95F15">
        <w:rPr>
          <w:rFonts w:ascii="Times New Roman" w:hAnsi="Times New Roman" w:cs="Times New Roman"/>
          <w:sz w:val="24"/>
          <w:szCs w:val="24"/>
        </w:rPr>
        <w:t>eauty, we see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0EDC" w:rsidRPr="00430EDC" w:rsidRDefault="00430EDC" w:rsidP="00AD609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35623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6092" w:rsidRDefault="00F95F15" w:rsidP="00AD6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Q7</w:t>
      </w:r>
      <w:r w:rsidR="00430EDC">
        <w:rPr>
          <w:rFonts w:ascii="Times New Roman" w:hAnsi="Times New Roman" w:cs="Times New Roman"/>
          <w:sz w:val="24"/>
          <w:szCs w:val="24"/>
        </w:rPr>
        <w:t xml:space="preserve">. What do you think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430EDC">
        <w:rPr>
          <w:rFonts w:ascii="Times New Roman" w:hAnsi="Times New Roman" w:cs="Times New Roman"/>
          <w:sz w:val="24"/>
          <w:szCs w:val="24"/>
        </w:rPr>
        <w:t xml:space="preserve"> trend </w:t>
      </w:r>
      <w:r>
        <w:rPr>
          <w:rFonts w:ascii="Times New Roman" w:hAnsi="Times New Roman" w:cs="Times New Roman"/>
          <w:sz w:val="24"/>
          <w:szCs w:val="24"/>
        </w:rPr>
        <w:t>for this data looks like</w:t>
      </w:r>
      <w:r w:rsidR="00430ED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D382A" w:rsidRDefault="005D382A" w:rsidP="00AD6092">
      <w:pPr>
        <w:rPr>
          <w:rFonts w:ascii="Times New Roman" w:hAnsi="Times New Roman" w:cs="Times New Roman"/>
          <w:i/>
          <w:sz w:val="24"/>
          <w:szCs w:val="24"/>
        </w:rPr>
      </w:pPr>
    </w:p>
    <w:p w:rsidR="002D0A10" w:rsidRPr="002D0A10" w:rsidRDefault="002D0A10" w:rsidP="00AD6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This is what the graph looks like when we add 2012 and 2013 data. </w:t>
      </w:r>
      <w:r w:rsidR="00E91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you can see we filled in many more days of the year in which there are blooms for the Carolina Spring</w:t>
      </w:r>
      <w:r w:rsidR="0043754A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eauty. </w:t>
      </w:r>
    </w:p>
    <w:p w:rsidR="00430EDC" w:rsidRDefault="00430EDC" w:rsidP="00AD609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356235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0A10" w:rsidRDefault="00F95F15" w:rsidP="00AD6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Q8</w:t>
      </w:r>
      <w:r w:rsidR="002D0A10">
        <w:rPr>
          <w:rFonts w:ascii="Times New Roman" w:hAnsi="Times New Roman" w:cs="Times New Roman"/>
          <w:sz w:val="24"/>
          <w:szCs w:val="24"/>
        </w:rPr>
        <w:t xml:space="preserve">. Do you think this addition might change the trend? </w:t>
      </w:r>
    </w:p>
    <w:p w:rsidR="002D0A10" w:rsidRPr="005D382A" w:rsidRDefault="005D382A" w:rsidP="00AD6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D382A" w:rsidRDefault="00F95F15" w:rsidP="00AD609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Q9</w:t>
      </w:r>
      <w:r w:rsidR="002D0A10">
        <w:rPr>
          <w:rFonts w:ascii="Times New Roman" w:hAnsi="Times New Roman" w:cs="Times New Roman"/>
          <w:sz w:val="24"/>
          <w:szCs w:val="24"/>
        </w:rPr>
        <w:t xml:space="preserve">. </w:t>
      </w:r>
      <w:r w:rsidR="005D382A">
        <w:rPr>
          <w:rFonts w:ascii="Times New Roman" w:hAnsi="Times New Roman" w:cs="Times New Roman"/>
          <w:sz w:val="24"/>
          <w:szCs w:val="24"/>
        </w:rPr>
        <w:t>W</w:t>
      </w:r>
      <w:r w:rsidR="002D0A10">
        <w:rPr>
          <w:rFonts w:ascii="Times New Roman" w:hAnsi="Times New Roman" w:cs="Times New Roman"/>
          <w:sz w:val="24"/>
          <w:szCs w:val="24"/>
        </w:rPr>
        <w:t xml:space="preserve">hy does this matter? </w:t>
      </w:r>
      <w:r w:rsidR="00E91D80">
        <w:rPr>
          <w:rFonts w:ascii="Times New Roman" w:hAnsi="Times New Roman" w:cs="Times New Roman"/>
          <w:sz w:val="24"/>
          <w:szCs w:val="24"/>
        </w:rPr>
        <w:t xml:space="preserve"> </w:t>
      </w:r>
      <w:r w:rsidR="002D0A10">
        <w:rPr>
          <w:rFonts w:ascii="Times New Roman" w:hAnsi="Times New Roman" w:cs="Times New Roman"/>
          <w:sz w:val="24"/>
          <w:szCs w:val="24"/>
        </w:rPr>
        <w:t>Why does having multiple year</w:t>
      </w:r>
      <w:r>
        <w:rPr>
          <w:rFonts w:ascii="Times New Roman" w:hAnsi="Times New Roman" w:cs="Times New Roman"/>
          <w:sz w:val="24"/>
          <w:szCs w:val="24"/>
        </w:rPr>
        <w:t xml:space="preserve">s of data give us more useful trends and </w:t>
      </w:r>
      <w:r w:rsidR="002D0A10">
        <w:rPr>
          <w:rFonts w:ascii="Times New Roman" w:hAnsi="Times New Roman" w:cs="Times New Roman"/>
          <w:sz w:val="24"/>
          <w:szCs w:val="24"/>
        </w:rPr>
        <w:t xml:space="preserve">information? </w:t>
      </w:r>
    </w:p>
    <w:p w:rsidR="002D0A10" w:rsidRDefault="002D0A10" w:rsidP="00AD609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D382A" w:rsidRDefault="005D382A" w:rsidP="00AD6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D382A" w:rsidRPr="005D382A" w:rsidRDefault="005D382A" w:rsidP="00AD6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4534C" w:rsidRPr="0024534C" w:rsidRDefault="0024534C" w:rsidP="00245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Q10. Do you think that three years of data is enough to understand the impacts of climate change? </w:t>
      </w:r>
    </w:p>
    <w:p w:rsidR="005D382A" w:rsidRPr="0024534C" w:rsidRDefault="0024534C" w:rsidP="00AD6092">
      <w:pPr>
        <w:rPr>
          <w:rFonts w:ascii="Times New Roman" w:hAnsi="Times New Roman" w:cs="Times New Roman"/>
          <w:sz w:val="24"/>
          <w:szCs w:val="24"/>
          <w:u w:val="single"/>
        </w:rPr>
      </w:pPr>
      <w:r w:rsidRPr="0024534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:rsidR="00BF7D6A" w:rsidRPr="005D382A" w:rsidRDefault="00BF7D6A" w:rsidP="00AD60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D382A">
        <w:rPr>
          <w:rFonts w:ascii="Times New Roman" w:hAnsi="Times New Roman" w:cs="Times New Roman"/>
          <w:b/>
          <w:sz w:val="24"/>
          <w:szCs w:val="24"/>
          <w:u w:val="single"/>
        </w:rPr>
        <w:t>Part 3.</w:t>
      </w:r>
      <w:proofErr w:type="gramEnd"/>
      <w:r w:rsidRPr="005D38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54805" w:rsidRPr="005D382A">
        <w:rPr>
          <w:rFonts w:ascii="Times New Roman" w:hAnsi="Times New Roman" w:cs="Times New Roman"/>
          <w:b/>
          <w:sz w:val="24"/>
          <w:szCs w:val="24"/>
          <w:u w:val="single"/>
        </w:rPr>
        <w:t>How to Create a Graph and Trend</w:t>
      </w:r>
      <w:r w:rsidR="00F95F15">
        <w:rPr>
          <w:rFonts w:ascii="Times New Roman" w:hAnsi="Times New Roman" w:cs="Times New Roman"/>
          <w:b/>
          <w:sz w:val="24"/>
          <w:szCs w:val="24"/>
          <w:u w:val="single"/>
        </w:rPr>
        <w:t xml:space="preserve"> L</w:t>
      </w:r>
      <w:r w:rsidR="00854805" w:rsidRPr="005D382A">
        <w:rPr>
          <w:rFonts w:ascii="Times New Roman" w:hAnsi="Times New Roman" w:cs="Times New Roman"/>
          <w:b/>
          <w:sz w:val="24"/>
          <w:szCs w:val="24"/>
          <w:u w:val="single"/>
        </w:rPr>
        <w:t>ine</w:t>
      </w:r>
    </w:p>
    <w:p w:rsidR="00BF7D6A" w:rsidRDefault="00BF7D6A" w:rsidP="00AD6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that you have an understanding of graphs and trend lines, let’s try to create our own graph using data on different species from the Great Smoky Mountains National Park. </w:t>
      </w:r>
    </w:p>
    <w:p w:rsidR="00E464A2" w:rsidRDefault="0024534C" w:rsidP="00AD6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Q11</w:t>
      </w:r>
      <w:r w:rsidR="00E464A2">
        <w:rPr>
          <w:rFonts w:ascii="Times New Roman" w:hAnsi="Times New Roman" w:cs="Times New Roman"/>
          <w:sz w:val="24"/>
          <w:szCs w:val="24"/>
        </w:rPr>
        <w:t>. Where will the year</w:t>
      </w:r>
      <w:r w:rsidR="00F95F15">
        <w:rPr>
          <w:rFonts w:ascii="Times New Roman" w:hAnsi="Times New Roman" w:cs="Times New Roman"/>
          <w:sz w:val="24"/>
          <w:szCs w:val="24"/>
        </w:rPr>
        <w:t>s</w:t>
      </w:r>
      <w:r w:rsidR="00E464A2">
        <w:rPr>
          <w:rFonts w:ascii="Times New Roman" w:hAnsi="Times New Roman" w:cs="Times New Roman"/>
          <w:sz w:val="24"/>
          <w:szCs w:val="24"/>
        </w:rPr>
        <w:t xml:space="preserve"> go? </w:t>
      </w:r>
      <w:r w:rsidR="00E91D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64A2">
        <w:rPr>
          <w:rFonts w:ascii="Times New Roman" w:hAnsi="Times New Roman" w:cs="Times New Roman"/>
          <w:sz w:val="24"/>
          <w:szCs w:val="24"/>
        </w:rPr>
        <w:t>On the x-axis or y-axis?</w:t>
      </w:r>
      <w:proofErr w:type="gramEnd"/>
      <w:r w:rsidR="00E46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82A" w:rsidRPr="005D382A" w:rsidRDefault="005D382A" w:rsidP="00AD6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D382A" w:rsidRDefault="005D382A" w:rsidP="00AD6092">
      <w:pPr>
        <w:rPr>
          <w:rFonts w:ascii="Times New Roman" w:hAnsi="Times New Roman" w:cs="Times New Roman"/>
          <w:sz w:val="24"/>
          <w:szCs w:val="24"/>
        </w:rPr>
      </w:pPr>
    </w:p>
    <w:p w:rsidR="00456BD4" w:rsidRDefault="00456BD4" w:rsidP="00AD6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we want to plot our points. </w:t>
      </w:r>
      <w:r w:rsidR="00E91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Take a look at the chart I gave you. </w:t>
      </w:r>
      <w:r w:rsidR="00E91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can plot the first two together. </w:t>
      </w:r>
    </w:p>
    <w:p w:rsidR="00456BD4" w:rsidRDefault="0024534C" w:rsidP="00AD6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Q12</w:t>
      </w:r>
      <w:r w:rsidR="00456BD4">
        <w:rPr>
          <w:rFonts w:ascii="Times New Roman" w:hAnsi="Times New Roman" w:cs="Times New Roman"/>
          <w:sz w:val="24"/>
          <w:szCs w:val="24"/>
        </w:rPr>
        <w:t>. In 1985, when was the first trillium bloom</w:t>
      </w:r>
      <w:r w:rsidR="00AE7A31">
        <w:rPr>
          <w:rFonts w:ascii="Times New Roman" w:hAnsi="Times New Roman" w:cs="Times New Roman"/>
          <w:sz w:val="24"/>
          <w:szCs w:val="24"/>
        </w:rPr>
        <w:t>s</w:t>
      </w:r>
      <w:r w:rsidR="00456BD4">
        <w:rPr>
          <w:rFonts w:ascii="Times New Roman" w:hAnsi="Times New Roman" w:cs="Times New Roman"/>
          <w:sz w:val="24"/>
          <w:szCs w:val="24"/>
        </w:rPr>
        <w:t xml:space="preserve"> seen for this data? </w:t>
      </w:r>
    </w:p>
    <w:p w:rsidR="005D382A" w:rsidRPr="005D382A" w:rsidRDefault="005D382A" w:rsidP="00AD6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56BD4" w:rsidRDefault="0024534C" w:rsidP="00456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Q13</w:t>
      </w:r>
      <w:r w:rsidR="00456BD4">
        <w:rPr>
          <w:rFonts w:ascii="Times New Roman" w:hAnsi="Times New Roman" w:cs="Times New Roman"/>
          <w:sz w:val="24"/>
          <w:szCs w:val="24"/>
        </w:rPr>
        <w:t>. In 1986, when was the first trillium bloom</w:t>
      </w:r>
      <w:r w:rsidR="00AE7A31">
        <w:rPr>
          <w:rFonts w:ascii="Times New Roman" w:hAnsi="Times New Roman" w:cs="Times New Roman"/>
          <w:sz w:val="24"/>
          <w:szCs w:val="24"/>
        </w:rPr>
        <w:t>s</w:t>
      </w:r>
      <w:r w:rsidR="00456BD4">
        <w:rPr>
          <w:rFonts w:ascii="Times New Roman" w:hAnsi="Times New Roman" w:cs="Times New Roman"/>
          <w:sz w:val="24"/>
          <w:szCs w:val="24"/>
        </w:rPr>
        <w:t xml:space="preserve"> seen for this data? </w:t>
      </w:r>
    </w:p>
    <w:p w:rsidR="00456BD4" w:rsidRPr="005D382A" w:rsidRDefault="005D382A" w:rsidP="00456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866D4" w:rsidRDefault="0024534C" w:rsidP="00AD6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Q14</w:t>
      </w:r>
      <w:r w:rsidR="001866D4">
        <w:rPr>
          <w:rFonts w:ascii="Times New Roman" w:hAnsi="Times New Roman" w:cs="Times New Roman"/>
          <w:sz w:val="24"/>
          <w:szCs w:val="24"/>
        </w:rPr>
        <w:t xml:space="preserve">. In what years were the trilliums first seen blooming in </w:t>
      </w:r>
      <w:r w:rsidR="00146F5E">
        <w:rPr>
          <w:rFonts w:ascii="Times New Roman" w:hAnsi="Times New Roman" w:cs="Times New Roman"/>
          <w:sz w:val="24"/>
          <w:szCs w:val="24"/>
        </w:rPr>
        <w:t xml:space="preserve">the month of </w:t>
      </w:r>
      <w:r w:rsidR="001866D4">
        <w:rPr>
          <w:rFonts w:ascii="Times New Roman" w:hAnsi="Times New Roman" w:cs="Times New Roman"/>
          <w:sz w:val="24"/>
          <w:szCs w:val="24"/>
        </w:rPr>
        <w:t xml:space="preserve">April? </w:t>
      </w:r>
    </w:p>
    <w:p w:rsidR="001866D4" w:rsidRPr="005D382A" w:rsidRDefault="005D382A" w:rsidP="00AD6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D382A" w:rsidRDefault="005D382A" w:rsidP="00AD6092">
      <w:pPr>
        <w:rPr>
          <w:rFonts w:ascii="Times New Roman" w:hAnsi="Times New Roman" w:cs="Times New Roman"/>
          <w:sz w:val="24"/>
          <w:szCs w:val="24"/>
        </w:rPr>
      </w:pPr>
    </w:p>
    <w:p w:rsidR="001866D4" w:rsidRPr="005D382A" w:rsidRDefault="00854805" w:rsidP="00AD60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D382A">
        <w:rPr>
          <w:rFonts w:ascii="Times New Roman" w:hAnsi="Times New Roman" w:cs="Times New Roman"/>
          <w:b/>
          <w:sz w:val="24"/>
          <w:szCs w:val="24"/>
          <w:u w:val="single"/>
        </w:rPr>
        <w:t>Part 4.</w:t>
      </w:r>
      <w:proofErr w:type="gramEnd"/>
      <w:r w:rsidRPr="005D382A">
        <w:rPr>
          <w:rFonts w:ascii="Times New Roman" w:hAnsi="Times New Roman" w:cs="Times New Roman"/>
          <w:b/>
          <w:sz w:val="24"/>
          <w:szCs w:val="24"/>
          <w:u w:val="single"/>
        </w:rPr>
        <w:t xml:space="preserve"> Creating a Graph and Trend</w:t>
      </w:r>
      <w:r w:rsidR="00AE7A31">
        <w:rPr>
          <w:rFonts w:ascii="Times New Roman" w:hAnsi="Times New Roman" w:cs="Times New Roman"/>
          <w:b/>
          <w:sz w:val="24"/>
          <w:szCs w:val="24"/>
          <w:u w:val="single"/>
        </w:rPr>
        <w:t xml:space="preserve"> L</w:t>
      </w:r>
      <w:r w:rsidRPr="005D382A">
        <w:rPr>
          <w:rFonts w:ascii="Times New Roman" w:hAnsi="Times New Roman" w:cs="Times New Roman"/>
          <w:b/>
          <w:sz w:val="24"/>
          <w:szCs w:val="24"/>
          <w:u w:val="single"/>
        </w:rPr>
        <w:t>ine</w:t>
      </w:r>
    </w:p>
    <w:p w:rsidR="00854805" w:rsidRDefault="00854805" w:rsidP="00AD609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Group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Spring Peeper</w:t>
      </w:r>
    </w:p>
    <w:tbl>
      <w:tblPr>
        <w:tblW w:w="3440" w:type="dxa"/>
        <w:tblInd w:w="93" w:type="dxa"/>
        <w:tblLook w:val="04A0" w:firstRow="1" w:lastRow="0" w:firstColumn="1" w:lastColumn="0" w:noHBand="0" w:noVBand="1"/>
      </w:tblPr>
      <w:tblGrid>
        <w:gridCol w:w="1210"/>
        <w:gridCol w:w="2139"/>
        <w:gridCol w:w="222"/>
      </w:tblGrid>
      <w:tr w:rsidR="00A50DF3" w:rsidRPr="00A50DF3" w:rsidTr="00A50DF3">
        <w:trPr>
          <w:trHeight w:val="300"/>
        </w:trPr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b/>
                <w:bCs/>
                <w:color w:val="000000"/>
              </w:rPr>
              <w:t>Spring Peeper First Heard</w:t>
            </w:r>
          </w:p>
        </w:tc>
      </w:tr>
      <w:tr w:rsidR="00A50DF3" w:rsidRPr="00A50DF3" w:rsidTr="00A50DF3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b/>
                <w:bCs/>
                <w:color w:val="000000"/>
              </w:rPr>
              <w:t>Calendar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0DF3" w:rsidRPr="00A50DF3" w:rsidTr="00A50DF3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1985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30-Apr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0DF3" w:rsidRPr="00A50DF3" w:rsidTr="00A50DF3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1986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16-Mar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0DF3" w:rsidRPr="00A50DF3" w:rsidTr="00A50DF3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1989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21-Feb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0DF3" w:rsidRPr="00A50DF3" w:rsidTr="00A50DF3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1991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8-Feb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0DF3" w:rsidRPr="00A50DF3" w:rsidTr="00A50DF3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1994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23-Feb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0DF3" w:rsidRPr="00A50DF3" w:rsidTr="00A50DF3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1995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29-Feb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0DF3" w:rsidRPr="00A50DF3" w:rsidTr="00A50DF3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1998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19-Mar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0DF3" w:rsidRPr="00A50DF3" w:rsidTr="00A50DF3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1999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2-Feb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0DF3" w:rsidRPr="00A50DF3" w:rsidTr="00A50DF3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1-Mar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0DF3" w:rsidRPr="00A50DF3" w:rsidTr="00A50DF3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2001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18-Feb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0DF3" w:rsidRPr="00A50DF3" w:rsidTr="00A50DF3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2002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14-Mar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0DF3" w:rsidRPr="00A50DF3" w:rsidTr="00A50DF3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1-Mar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0DF3" w:rsidRPr="00A50DF3" w:rsidTr="00A50DF3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25-Feb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50DF3" w:rsidRDefault="00A50DF3" w:rsidP="00AD6092">
      <w:pPr>
        <w:rPr>
          <w:rFonts w:ascii="Times New Roman" w:hAnsi="Times New Roman" w:cs="Times New Roman"/>
          <w:sz w:val="24"/>
          <w:szCs w:val="24"/>
        </w:rPr>
      </w:pPr>
    </w:p>
    <w:p w:rsidR="00A50DF3" w:rsidRDefault="00A50DF3" w:rsidP="00AD6092">
      <w:pPr>
        <w:rPr>
          <w:rFonts w:ascii="Times New Roman" w:hAnsi="Times New Roman" w:cs="Times New Roman"/>
          <w:sz w:val="24"/>
          <w:szCs w:val="24"/>
        </w:rPr>
      </w:pPr>
    </w:p>
    <w:p w:rsidR="00854805" w:rsidRDefault="00854805" w:rsidP="00AD609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Group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Black-throated Green Warbler</w:t>
      </w:r>
    </w:p>
    <w:tbl>
      <w:tblPr>
        <w:tblW w:w="5920" w:type="dxa"/>
        <w:tblInd w:w="93" w:type="dxa"/>
        <w:tblLook w:val="04A0" w:firstRow="1" w:lastRow="0" w:firstColumn="1" w:lastColumn="0" w:noHBand="0" w:noVBand="1"/>
      </w:tblPr>
      <w:tblGrid>
        <w:gridCol w:w="2029"/>
        <w:gridCol w:w="3585"/>
        <w:gridCol w:w="222"/>
        <w:gridCol w:w="222"/>
      </w:tblGrid>
      <w:tr w:rsidR="00A50DF3" w:rsidRPr="00A50DF3" w:rsidTr="00A50DF3">
        <w:trPr>
          <w:trHeight w:val="300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b/>
                <w:bCs/>
                <w:color w:val="000000"/>
              </w:rPr>
              <w:t>Black-throated Green Warbler First Heard</w:t>
            </w:r>
          </w:p>
        </w:tc>
      </w:tr>
      <w:tr w:rsidR="00A50DF3" w:rsidRPr="00A50DF3" w:rsidTr="00A50DF3">
        <w:trPr>
          <w:trHeight w:val="300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b/>
                <w:bCs/>
                <w:color w:val="000000"/>
              </w:rPr>
              <w:t>Calendar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0DF3" w:rsidRPr="00A50DF3" w:rsidTr="00A50DF3">
        <w:trPr>
          <w:trHeight w:val="30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1985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8-Apr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0DF3" w:rsidRPr="00A50DF3" w:rsidTr="00A50DF3">
        <w:trPr>
          <w:trHeight w:val="30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1986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1-Apr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0DF3" w:rsidRPr="00A50DF3" w:rsidTr="00A50DF3">
        <w:trPr>
          <w:trHeight w:val="30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1989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21-Apr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0DF3" w:rsidRPr="00A50DF3" w:rsidTr="00A50DF3">
        <w:trPr>
          <w:trHeight w:val="30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1992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6-Apr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0DF3" w:rsidRPr="00A50DF3" w:rsidTr="00A50DF3">
        <w:trPr>
          <w:trHeight w:val="30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1993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12-Apr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0DF3" w:rsidRPr="00A50DF3" w:rsidTr="00A50DF3">
        <w:trPr>
          <w:trHeight w:val="30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1995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27-Mar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0DF3" w:rsidRPr="00A50DF3" w:rsidTr="00A50DF3">
        <w:trPr>
          <w:trHeight w:val="30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1998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31-Mar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0DF3" w:rsidRPr="00A50DF3" w:rsidTr="00A50DF3">
        <w:trPr>
          <w:trHeight w:val="30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1999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4-Apr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0DF3" w:rsidRPr="00A50DF3" w:rsidTr="00A50DF3">
        <w:trPr>
          <w:trHeight w:val="30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24-Mar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0DF3" w:rsidRPr="00A50DF3" w:rsidTr="00A50DF3">
        <w:trPr>
          <w:trHeight w:val="30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2001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3-Apr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0DF3" w:rsidRPr="00A50DF3" w:rsidTr="00A50DF3">
        <w:trPr>
          <w:trHeight w:val="30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2002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29-Mar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0DF3" w:rsidRPr="00A50DF3" w:rsidTr="00A50DF3">
        <w:trPr>
          <w:trHeight w:val="30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2003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23-Mar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0DF3" w:rsidRPr="00A50DF3" w:rsidTr="00A50DF3">
        <w:trPr>
          <w:trHeight w:val="30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2004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26-Mar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50DF3" w:rsidRPr="00A50DF3" w:rsidTr="00A50DF3">
        <w:trPr>
          <w:trHeight w:val="300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2005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0DF3">
              <w:rPr>
                <w:rFonts w:ascii="Calibri" w:eastAsia="Times New Roman" w:hAnsi="Calibri" w:cs="Times New Roman"/>
                <w:color w:val="000000"/>
              </w:rPr>
              <w:t>29-Mar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DF3" w:rsidRPr="00A50DF3" w:rsidRDefault="00A50DF3" w:rsidP="00A50D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50DF3" w:rsidRDefault="00A50DF3" w:rsidP="00AD6092">
      <w:pPr>
        <w:rPr>
          <w:rFonts w:ascii="Times New Roman" w:hAnsi="Times New Roman" w:cs="Times New Roman"/>
          <w:sz w:val="24"/>
          <w:szCs w:val="24"/>
        </w:rPr>
      </w:pPr>
    </w:p>
    <w:p w:rsidR="00854805" w:rsidRDefault="00854805" w:rsidP="00AD6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both of these sets of data we are graphing the time that the spring peepers </w:t>
      </w:r>
      <w:r w:rsidR="00146F5E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black-throated green warblers were first heard each </w:t>
      </w:r>
      <w:r w:rsidR="00E6785D">
        <w:rPr>
          <w:rFonts w:ascii="Times New Roman" w:hAnsi="Times New Roman" w:cs="Times New Roman"/>
          <w:sz w:val="24"/>
          <w:szCs w:val="24"/>
        </w:rPr>
        <w:t>year.</w:t>
      </w:r>
      <w:bookmarkStart w:id="0" w:name="_GoBack"/>
      <w:bookmarkEnd w:id="0"/>
      <w:r w:rsidR="00E6785D">
        <w:rPr>
          <w:rFonts w:ascii="Times New Roman" w:hAnsi="Times New Roman" w:cs="Times New Roman"/>
          <w:sz w:val="24"/>
          <w:szCs w:val="24"/>
        </w:rPr>
        <w:t xml:space="preserve"> </w:t>
      </w:r>
      <w:r w:rsidR="00E91D80">
        <w:rPr>
          <w:rFonts w:ascii="Times New Roman" w:hAnsi="Times New Roman" w:cs="Times New Roman"/>
          <w:sz w:val="24"/>
          <w:szCs w:val="24"/>
        </w:rPr>
        <w:t xml:space="preserve"> </w:t>
      </w:r>
      <w:r w:rsidR="00E6785D">
        <w:rPr>
          <w:rFonts w:ascii="Times New Roman" w:hAnsi="Times New Roman" w:cs="Times New Roman"/>
          <w:sz w:val="24"/>
          <w:szCs w:val="24"/>
        </w:rPr>
        <w:t xml:space="preserve">Once again the years will be on the x-axis and the months will be on the y-axis. </w:t>
      </w:r>
    </w:p>
    <w:p w:rsidR="004930C4" w:rsidRDefault="0024534C" w:rsidP="00493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Q15</w:t>
      </w:r>
      <w:r w:rsidR="004930C4">
        <w:rPr>
          <w:rFonts w:ascii="Times New Roman" w:hAnsi="Times New Roman" w:cs="Times New Roman"/>
          <w:sz w:val="24"/>
          <w:szCs w:val="24"/>
        </w:rPr>
        <w:t xml:space="preserve">. Approximately at what date were the Spring Peepers first heard in 1986, 1998, and 2003? </w:t>
      </w:r>
    </w:p>
    <w:p w:rsidR="005D382A" w:rsidRPr="005D382A" w:rsidRDefault="005D382A" w:rsidP="00493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930C4" w:rsidRDefault="0024534C" w:rsidP="00493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Q16</w:t>
      </w:r>
      <w:r w:rsidR="00D94B92">
        <w:rPr>
          <w:rFonts w:ascii="Times New Roman" w:hAnsi="Times New Roman" w:cs="Times New Roman"/>
          <w:sz w:val="24"/>
          <w:szCs w:val="24"/>
        </w:rPr>
        <w:t xml:space="preserve">. Approximately at what date were the Black-throated Blue Warblers first heard in 1985, 1995, and 2000? </w:t>
      </w:r>
    </w:p>
    <w:p w:rsidR="005D382A" w:rsidRPr="005D382A" w:rsidRDefault="005D382A" w:rsidP="00493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D382A" w:rsidRDefault="0024534C" w:rsidP="004930C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Q17</w:t>
      </w:r>
      <w:r w:rsidR="004930C4">
        <w:rPr>
          <w:rFonts w:ascii="Times New Roman" w:hAnsi="Times New Roman" w:cs="Times New Roman"/>
          <w:sz w:val="24"/>
          <w:szCs w:val="24"/>
        </w:rPr>
        <w:t xml:space="preserve">. What was the trend of your graph? </w:t>
      </w:r>
    </w:p>
    <w:p w:rsidR="004930C4" w:rsidRDefault="004930C4" w:rsidP="004930C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6785D" w:rsidRPr="005D382A" w:rsidRDefault="005D382A" w:rsidP="00AD6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E6785D" w:rsidRPr="005D382A" w:rsidSect="00201BF3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805" w:rsidRDefault="002E5805">
      <w:pPr>
        <w:spacing w:after="0" w:line="240" w:lineRule="auto"/>
      </w:pPr>
      <w:r>
        <w:separator/>
      </w:r>
    </w:p>
  </w:endnote>
  <w:endnote w:type="continuationSeparator" w:id="0">
    <w:p w:rsidR="002E5805" w:rsidRDefault="002E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B2C" w:rsidRDefault="00B04B2C" w:rsidP="00B04B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4B2C" w:rsidRDefault="00B04B2C" w:rsidP="00146F5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B2C" w:rsidRDefault="00B04B2C" w:rsidP="00B04B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1D80">
      <w:rPr>
        <w:rStyle w:val="PageNumber"/>
        <w:noProof/>
      </w:rPr>
      <w:t>3</w:t>
    </w:r>
    <w:r>
      <w:rPr>
        <w:rStyle w:val="PageNumber"/>
      </w:rPr>
      <w:fldChar w:fldCharType="end"/>
    </w:r>
  </w:p>
  <w:p w:rsidR="00B04B2C" w:rsidRDefault="00B04B2C" w:rsidP="00146F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805" w:rsidRDefault="002E5805">
      <w:pPr>
        <w:spacing w:after="0" w:line="240" w:lineRule="auto"/>
      </w:pPr>
      <w:r>
        <w:separator/>
      </w:r>
    </w:p>
  </w:footnote>
  <w:footnote w:type="continuationSeparator" w:id="0">
    <w:p w:rsidR="002E5805" w:rsidRDefault="002E5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B2C" w:rsidRDefault="00B04B2C">
    <w:pPr>
      <w:pStyle w:val="Header"/>
    </w:pPr>
    <w:r>
      <w:t>8</w:t>
    </w:r>
    <w:r w:rsidRPr="004801AD">
      <w:rPr>
        <w:vertAlign w:val="superscript"/>
      </w:rPr>
      <w:t>th</w:t>
    </w:r>
    <w:r>
      <w:t xml:space="preserve"> Grade- Phenology and Climate Change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10"/>
    <w:rsid w:val="000556DC"/>
    <w:rsid w:val="000A5A7F"/>
    <w:rsid w:val="000B5D70"/>
    <w:rsid w:val="00135FE1"/>
    <w:rsid w:val="00146F5E"/>
    <w:rsid w:val="001866D4"/>
    <w:rsid w:val="00201BF3"/>
    <w:rsid w:val="0024534C"/>
    <w:rsid w:val="00252CB8"/>
    <w:rsid w:val="002D0A10"/>
    <w:rsid w:val="002E5805"/>
    <w:rsid w:val="00315ABB"/>
    <w:rsid w:val="00430EDC"/>
    <w:rsid w:val="0043754A"/>
    <w:rsid w:val="00456BD4"/>
    <w:rsid w:val="004801AD"/>
    <w:rsid w:val="00491EA8"/>
    <w:rsid w:val="004930C4"/>
    <w:rsid w:val="004B5AB6"/>
    <w:rsid w:val="004D0039"/>
    <w:rsid w:val="00571940"/>
    <w:rsid w:val="005D382A"/>
    <w:rsid w:val="005D7DFF"/>
    <w:rsid w:val="005F4A14"/>
    <w:rsid w:val="00651EF5"/>
    <w:rsid w:val="00653C63"/>
    <w:rsid w:val="007220E4"/>
    <w:rsid w:val="007D5A32"/>
    <w:rsid w:val="00854805"/>
    <w:rsid w:val="008C0EA0"/>
    <w:rsid w:val="00A14BE5"/>
    <w:rsid w:val="00A46237"/>
    <w:rsid w:val="00A50DF3"/>
    <w:rsid w:val="00A5344B"/>
    <w:rsid w:val="00AD6092"/>
    <w:rsid w:val="00AE7A31"/>
    <w:rsid w:val="00B04B2C"/>
    <w:rsid w:val="00B2347F"/>
    <w:rsid w:val="00BA1A8B"/>
    <w:rsid w:val="00BD2D26"/>
    <w:rsid w:val="00BD4D52"/>
    <w:rsid w:val="00BF7D6A"/>
    <w:rsid w:val="00C343E0"/>
    <w:rsid w:val="00C52310"/>
    <w:rsid w:val="00C56150"/>
    <w:rsid w:val="00CF2648"/>
    <w:rsid w:val="00D141D6"/>
    <w:rsid w:val="00D94B92"/>
    <w:rsid w:val="00E11BDA"/>
    <w:rsid w:val="00E2220F"/>
    <w:rsid w:val="00E464A2"/>
    <w:rsid w:val="00E6785D"/>
    <w:rsid w:val="00E816EB"/>
    <w:rsid w:val="00E91D80"/>
    <w:rsid w:val="00EB308A"/>
    <w:rsid w:val="00F95F15"/>
    <w:rsid w:val="00FA5CC8"/>
    <w:rsid w:val="00FC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0EA0"/>
  </w:style>
  <w:style w:type="character" w:customStyle="1" w:styleId="foreign">
    <w:name w:val="foreign"/>
    <w:basedOn w:val="DefaultParagraphFont"/>
    <w:rsid w:val="008C0EA0"/>
  </w:style>
  <w:style w:type="character" w:styleId="Hyperlink">
    <w:name w:val="Hyperlink"/>
    <w:basedOn w:val="DefaultParagraphFont"/>
    <w:uiPriority w:val="99"/>
    <w:semiHidden/>
    <w:unhideWhenUsed/>
    <w:rsid w:val="00FC4A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6B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801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1AD"/>
  </w:style>
  <w:style w:type="paragraph" w:styleId="Footer">
    <w:name w:val="footer"/>
    <w:basedOn w:val="Normal"/>
    <w:link w:val="FooterChar"/>
    <w:uiPriority w:val="99"/>
    <w:semiHidden/>
    <w:unhideWhenUsed/>
    <w:rsid w:val="004801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1AD"/>
  </w:style>
  <w:style w:type="character" w:styleId="PageNumber">
    <w:name w:val="page number"/>
    <w:basedOn w:val="DefaultParagraphFont"/>
    <w:uiPriority w:val="99"/>
    <w:semiHidden/>
    <w:unhideWhenUsed/>
    <w:rsid w:val="005D3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0EA0"/>
  </w:style>
  <w:style w:type="character" w:customStyle="1" w:styleId="foreign">
    <w:name w:val="foreign"/>
    <w:basedOn w:val="DefaultParagraphFont"/>
    <w:rsid w:val="008C0EA0"/>
  </w:style>
  <w:style w:type="character" w:styleId="Hyperlink">
    <w:name w:val="Hyperlink"/>
    <w:basedOn w:val="DefaultParagraphFont"/>
    <w:uiPriority w:val="99"/>
    <w:semiHidden/>
    <w:unhideWhenUsed/>
    <w:rsid w:val="00FC4A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6B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801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1AD"/>
  </w:style>
  <w:style w:type="paragraph" w:styleId="Footer">
    <w:name w:val="footer"/>
    <w:basedOn w:val="Normal"/>
    <w:link w:val="FooterChar"/>
    <w:uiPriority w:val="99"/>
    <w:semiHidden/>
    <w:unhideWhenUsed/>
    <w:rsid w:val="004801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1AD"/>
  </w:style>
  <w:style w:type="character" w:styleId="PageNumber">
    <w:name w:val="page number"/>
    <w:basedOn w:val="DefaultParagraphFont"/>
    <w:uiPriority w:val="99"/>
    <w:semiHidden/>
    <w:unhideWhenUsed/>
    <w:rsid w:val="005D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PIC%20Phenology\pvt_Summary_of_Species_by_Year_Wcalendardates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E:\PIC%20Phenology\pvt_Summary_of_Species_by_Year_1DataYear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E:\PIC%20Phenology\pvt_Summary_of_Species_by_Year_1DataYea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Number</a:t>
            </a:r>
            <a:r>
              <a:rPr lang="en-US" sz="1600" baseline="0"/>
              <a:t> of Blooms per Calendar Date from 2011-2013</a:t>
            </a:r>
            <a:endParaRPr lang="en-US" sz="1600"/>
          </a:p>
        </c:rich>
      </c:tx>
      <c:layout>
        <c:manualLayout>
          <c:xMode val="edge"/>
          <c:yMode val="edge"/>
          <c:x val="0.145871175414646"/>
          <c:y val="2.11717047482594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5557911030352"/>
          <c:y val="0.14473042315106799"/>
          <c:w val="0.66458375395383296"/>
          <c:h val="0.719270144707847"/>
        </c:manualLayout>
      </c:layout>
      <c:scatterChart>
        <c:scatterStyle val="lineMarker"/>
        <c:varyColors val="0"/>
        <c:ser>
          <c:idx val="0"/>
          <c:order val="0"/>
          <c:tx>
            <c:v>Carolina Springbeauty</c:v>
          </c:tx>
          <c:spPr>
            <a:ln w="28575">
              <a:noFill/>
            </a:ln>
          </c:spPr>
          <c:xVal>
            <c:numRef>
              <c:f>pvt_Summary_of_Species_by_Year!$E$625:$E$686</c:f>
              <c:numCache>
                <c:formatCode>d\-mmm</c:formatCode>
                <c:ptCount val="62"/>
                <c:pt idx="0">
                  <c:v>76</c:v>
                </c:pt>
                <c:pt idx="1">
                  <c:v>76</c:v>
                </c:pt>
                <c:pt idx="2">
                  <c:v>81</c:v>
                </c:pt>
                <c:pt idx="3">
                  <c:v>81</c:v>
                </c:pt>
                <c:pt idx="4">
                  <c:v>81</c:v>
                </c:pt>
                <c:pt idx="5">
                  <c:v>87</c:v>
                </c:pt>
                <c:pt idx="6">
                  <c:v>87</c:v>
                </c:pt>
                <c:pt idx="7">
                  <c:v>87</c:v>
                </c:pt>
                <c:pt idx="8">
                  <c:v>89</c:v>
                </c:pt>
                <c:pt idx="9">
                  <c:v>89</c:v>
                </c:pt>
                <c:pt idx="10">
                  <c:v>89</c:v>
                </c:pt>
                <c:pt idx="11">
                  <c:v>94</c:v>
                </c:pt>
                <c:pt idx="12">
                  <c:v>94</c:v>
                </c:pt>
                <c:pt idx="13">
                  <c:v>94</c:v>
                </c:pt>
                <c:pt idx="14">
                  <c:v>95</c:v>
                </c:pt>
                <c:pt idx="15">
                  <c:v>95</c:v>
                </c:pt>
                <c:pt idx="16">
                  <c:v>95</c:v>
                </c:pt>
                <c:pt idx="17">
                  <c:v>97</c:v>
                </c:pt>
                <c:pt idx="18">
                  <c:v>97</c:v>
                </c:pt>
                <c:pt idx="19">
                  <c:v>97</c:v>
                </c:pt>
                <c:pt idx="20">
                  <c:v>99</c:v>
                </c:pt>
                <c:pt idx="21">
                  <c:v>99</c:v>
                </c:pt>
                <c:pt idx="22">
                  <c:v>99</c:v>
                </c:pt>
                <c:pt idx="23">
                  <c:v>101</c:v>
                </c:pt>
                <c:pt idx="24">
                  <c:v>101</c:v>
                </c:pt>
                <c:pt idx="25">
                  <c:v>102</c:v>
                </c:pt>
                <c:pt idx="26">
                  <c:v>102</c:v>
                </c:pt>
                <c:pt idx="27">
                  <c:v>102</c:v>
                </c:pt>
                <c:pt idx="28">
                  <c:v>108</c:v>
                </c:pt>
                <c:pt idx="29">
                  <c:v>108</c:v>
                </c:pt>
                <c:pt idx="30">
                  <c:v>108</c:v>
                </c:pt>
                <c:pt idx="31">
                  <c:v>112</c:v>
                </c:pt>
                <c:pt idx="32">
                  <c:v>112</c:v>
                </c:pt>
                <c:pt idx="33">
                  <c:v>112</c:v>
                </c:pt>
                <c:pt idx="34">
                  <c:v>114</c:v>
                </c:pt>
                <c:pt idx="35">
                  <c:v>114</c:v>
                </c:pt>
                <c:pt idx="36">
                  <c:v>115</c:v>
                </c:pt>
                <c:pt idx="37">
                  <c:v>115</c:v>
                </c:pt>
                <c:pt idx="38">
                  <c:v>115</c:v>
                </c:pt>
                <c:pt idx="39">
                  <c:v>116</c:v>
                </c:pt>
                <c:pt idx="40">
                  <c:v>116</c:v>
                </c:pt>
                <c:pt idx="41">
                  <c:v>116</c:v>
                </c:pt>
                <c:pt idx="42">
                  <c:v>119</c:v>
                </c:pt>
                <c:pt idx="43">
                  <c:v>119</c:v>
                </c:pt>
                <c:pt idx="44">
                  <c:v>119</c:v>
                </c:pt>
                <c:pt idx="45">
                  <c:v>121</c:v>
                </c:pt>
                <c:pt idx="46">
                  <c:v>121</c:v>
                </c:pt>
                <c:pt idx="47">
                  <c:v>121</c:v>
                </c:pt>
                <c:pt idx="48">
                  <c:v>123</c:v>
                </c:pt>
                <c:pt idx="49">
                  <c:v>123</c:v>
                </c:pt>
                <c:pt idx="50">
                  <c:v>127</c:v>
                </c:pt>
                <c:pt idx="51">
                  <c:v>127</c:v>
                </c:pt>
                <c:pt idx="52">
                  <c:v>128</c:v>
                </c:pt>
                <c:pt idx="53">
                  <c:v>128</c:v>
                </c:pt>
                <c:pt idx="54">
                  <c:v>130</c:v>
                </c:pt>
                <c:pt idx="55">
                  <c:v>130</c:v>
                </c:pt>
                <c:pt idx="56">
                  <c:v>131</c:v>
                </c:pt>
                <c:pt idx="57">
                  <c:v>131</c:v>
                </c:pt>
                <c:pt idx="58">
                  <c:v>134</c:v>
                </c:pt>
                <c:pt idx="59">
                  <c:v>134</c:v>
                </c:pt>
                <c:pt idx="60">
                  <c:v>137</c:v>
                </c:pt>
                <c:pt idx="61">
                  <c:v>142</c:v>
                </c:pt>
              </c:numCache>
            </c:numRef>
          </c:xVal>
          <c:yVal>
            <c:numRef>
              <c:f>pvt_Summary_of_Species_by_Year!$F$625:$F$686</c:f>
              <c:numCache>
                <c:formatCode>General</c:formatCode>
                <c:ptCount val="62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16</c:v>
                </c:pt>
                <c:pt idx="4">
                  <c:v>30</c:v>
                </c:pt>
                <c:pt idx="5">
                  <c:v>6</c:v>
                </c:pt>
                <c:pt idx="6">
                  <c:v>50</c:v>
                </c:pt>
                <c:pt idx="7">
                  <c:v>112</c:v>
                </c:pt>
                <c:pt idx="8">
                  <c:v>1</c:v>
                </c:pt>
                <c:pt idx="9">
                  <c:v>19</c:v>
                </c:pt>
                <c:pt idx="10">
                  <c:v>31</c:v>
                </c:pt>
                <c:pt idx="11">
                  <c:v>0</c:v>
                </c:pt>
                <c:pt idx="12">
                  <c:v>1</c:v>
                </c:pt>
                <c:pt idx="13">
                  <c:v>3</c:v>
                </c:pt>
                <c:pt idx="14">
                  <c:v>3</c:v>
                </c:pt>
                <c:pt idx="15">
                  <c:v>27</c:v>
                </c:pt>
                <c:pt idx="16">
                  <c:v>23</c:v>
                </c:pt>
                <c:pt idx="17">
                  <c:v>0</c:v>
                </c:pt>
                <c:pt idx="18">
                  <c:v>11</c:v>
                </c:pt>
                <c:pt idx="19">
                  <c:v>50</c:v>
                </c:pt>
                <c:pt idx="20">
                  <c:v>0</c:v>
                </c:pt>
                <c:pt idx="21">
                  <c:v>0</c:v>
                </c:pt>
                <c:pt idx="22">
                  <c:v>4</c:v>
                </c:pt>
                <c:pt idx="23">
                  <c:v>1</c:v>
                </c:pt>
                <c:pt idx="24">
                  <c:v>7</c:v>
                </c:pt>
                <c:pt idx="25">
                  <c:v>19</c:v>
                </c:pt>
                <c:pt idx="26">
                  <c:v>40</c:v>
                </c:pt>
                <c:pt idx="27">
                  <c:v>123</c:v>
                </c:pt>
                <c:pt idx="28">
                  <c:v>8</c:v>
                </c:pt>
                <c:pt idx="29">
                  <c:v>10</c:v>
                </c:pt>
                <c:pt idx="30">
                  <c:v>53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8</c:v>
                </c:pt>
                <c:pt idx="37">
                  <c:v>7</c:v>
                </c:pt>
                <c:pt idx="38">
                  <c:v>61</c:v>
                </c:pt>
                <c:pt idx="39">
                  <c:v>0</c:v>
                </c:pt>
                <c:pt idx="40">
                  <c:v>0</c:v>
                </c:pt>
                <c:pt idx="41">
                  <c:v>3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2</c:v>
                </c:pt>
                <c:pt idx="46">
                  <c:v>0</c:v>
                </c:pt>
                <c:pt idx="47">
                  <c:v>6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9331456"/>
        <c:axId val="119358208"/>
      </c:scatterChart>
      <c:valAx>
        <c:axId val="119331456"/>
        <c:scaling>
          <c:orientation val="minMax"/>
          <c:max val="140"/>
          <c:min val="7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400" b="0"/>
                  <a:t>Calendar Date</a:t>
                </a:r>
              </a:p>
            </c:rich>
          </c:tx>
          <c:layout>
            <c:manualLayout>
              <c:xMode val="edge"/>
              <c:yMode val="edge"/>
              <c:x val="0.37984369742243801"/>
              <c:y val="0.92730837789661302"/>
            </c:manualLayout>
          </c:layout>
          <c:overlay val="0"/>
        </c:title>
        <c:numFmt formatCode="d\-mmm" sourceLinked="1"/>
        <c:majorTickMark val="out"/>
        <c:minorTickMark val="none"/>
        <c:tickLblPos val="nextTo"/>
        <c:crossAx val="119358208"/>
        <c:crosses val="autoZero"/>
        <c:crossBetween val="midCat"/>
      </c:valAx>
      <c:valAx>
        <c:axId val="119358208"/>
        <c:scaling>
          <c:orientation val="minMax"/>
          <c:max val="13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400" b="0"/>
                  <a:t>Number</a:t>
                </a:r>
                <a:r>
                  <a:rPr lang="en-US" sz="1400" b="0" baseline="0"/>
                  <a:t> of Blooms</a:t>
                </a:r>
                <a:endParaRPr lang="en-US" sz="1400" b="0"/>
              </a:p>
            </c:rich>
          </c:tx>
          <c:layout>
            <c:manualLayout>
              <c:xMode val="edge"/>
              <c:yMode val="edge"/>
              <c:x val="2.3417625681405201E-2"/>
              <c:y val="0.341738459163193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19331456"/>
        <c:crosses val="autoZero"/>
        <c:crossBetween val="midCat"/>
        <c:majorUnit val="10"/>
      </c:valAx>
    </c:plotArea>
    <c:legend>
      <c:legendPos val="r"/>
      <c:layout>
        <c:manualLayout>
          <c:xMode val="edge"/>
          <c:yMode val="edge"/>
          <c:x val="0.81916629435239896"/>
          <c:y val="0.19513828753694201"/>
          <c:w val="0.15263256534448499"/>
          <c:h val="0.18623061228459001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Number</a:t>
            </a:r>
            <a:r>
              <a:rPr lang="en-US" baseline="0"/>
              <a:t> of Blooms per Calendar Date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2053637526078"/>
          <c:y val="0.134411554170702"/>
          <c:w val="0.66244700181708105"/>
          <c:h val="0.712029418782545"/>
        </c:manualLayout>
      </c:layout>
      <c:scatterChart>
        <c:scatterStyle val="lineMarker"/>
        <c:varyColors val="0"/>
        <c:ser>
          <c:idx val="1"/>
          <c:order val="0"/>
          <c:tx>
            <c:v>2011</c:v>
          </c:tx>
          <c:spPr>
            <a:ln w="28575">
              <a:noFill/>
            </a:ln>
          </c:spPr>
          <c:xVal>
            <c:numRef>
              <c:f>pvt_Summary_of_Species_by_Year!$E$625:$E$651</c:f>
              <c:numCache>
                <c:formatCode>d\-mmm</c:formatCode>
                <c:ptCount val="27"/>
                <c:pt idx="0">
                  <c:v>95</c:v>
                </c:pt>
                <c:pt idx="1">
                  <c:v>95</c:v>
                </c:pt>
                <c:pt idx="2">
                  <c:v>95</c:v>
                </c:pt>
                <c:pt idx="3">
                  <c:v>97</c:v>
                </c:pt>
                <c:pt idx="4">
                  <c:v>97</c:v>
                </c:pt>
                <c:pt idx="5">
                  <c:v>97</c:v>
                </c:pt>
                <c:pt idx="6">
                  <c:v>102</c:v>
                </c:pt>
                <c:pt idx="7">
                  <c:v>102</c:v>
                </c:pt>
                <c:pt idx="8">
                  <c:v>102</c:v>
                </c:pt>
                <c:pt idx="9">
                  <c:v>112</c:v>
                </c:pt>
                <c:pt idx="10">
                  <c:v>112</c:v>
                </c:pt>
                <c:pt idx="11">
                  <c:v>112</c:v>
                </c:pt>
                <c:pt idx="12">
                  <c:v>116</c:v>
                </c:pt>
                <c:pt idx="13">
                  <c:v>116</c:v>
                </c:pt>
                <c:pt idx="14">
                  <c:v>116</c:v>
                </c:pt>
                <c:pt idx="15">
                  <c:v>119</c:v>
                </c:pt>
                <c:pt idx="16">
                  <c:v>119</c:v>
                </c:pt>
                <c:pt idx="17">
                  <c:v>119</c:v>
                </c:pt>
                <c:pt idx="18">
                  <c:v>123</c:v>
                </c:pt>
                <c:pt idx="19">
                  <c:v>123</c:v>
                </c:pt>
                <c:pt idx="20">
                  <c:v>128</c:v>
                </c:pt>
                <c:pt idx="21">
                  <c:v>128</c:v>
                </c:pt>
                <c:pt idx="22">
                  <c:v>130</c:v>
                </c:pt>
                <c:pt idx="23">
                  <c:v>130</c:v>
                </c:pt>
                <c:pt idx="24">
                  <c:v>134</c:v>
                </c:pt>
                <c:pt idx="25">
                  <c:v>134</c:v>
                </c:pt>
                <c:pt idx="26">
                  <c:v>137</c:v>
                </c:pt>
              </c:numCache>
            </c:numRef>
          </c:xVal>
          <c:yVal>
            <c:numRef>
              <c:f>pvt_Summary_of_Species_by_Year!$F$625:$F$651</c:f>
              <c:numCache>
                <c:formatCode>General</c:formatCode>
                <c:ptCount val="27"/>
                <c:pt idx="0">
                  <c:v>3</c:v>
                </c:pt>
                <c:pt idx="1">
                  <c:v>27</c:v>
                </c:pt>
                <c:pt idx="2">
                  <c:v>23</c:v>
                </c:pt>
                <c:pt idx="3">
                  <c:v>0</c:v>
                </c:pt>
                <c:pt idx="4">
                  <c:v>11</c:v>
                </c:pt>
                <c:pt idx="5">
                  <c:v>50</c:v>
                </c:pt>
                <c:pt idx="6">
                  <c:v>19</c:v>
                </c:pt>
                <c:pt idx="7">
                  <c:v>40</c:v>
                </c:pt>
                <c:pt idx="8">
                  <c:v>123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3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9399552"/>
        <c:axId val="119401472"/>
      </c:scatterChart>
      <c:valAx>
        <c:axId val="119399552"/>
        <c:scaling>
          <c:orientation val="minMax"/>
          <c:max val="140"/>
          <c:min val="7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 b="0"/>
                  <a:t>Calendar Date</a:t>
                </a:r>
              </a:p>
            </c:rich>
          </c:tx>
          <c:layout>
            <c:manualLayout>
              <c:xMode val="edge"/>
              <c:yMode val="edge"/>
              <c:x val="0.35206591964466"/>
              <c:y val="0.924310918354457"/>
            </c:manualLayout>
          </c:layout>
          <c:overlay val="0"/>
        </c:title>
        <c:numFmt formatCode="d\-mmm" sourceLinked="1"/>
        <c:majorTickMark val="out"/>
        <c:minorTickMark val="none"/>
        <c:tickLblPos val="nextTo"/>
        <c:crossAx val="119401472"/>
        <c:crosses val="autoZero"/>
        <c:crossBetween val="midCat"/>
      </c:valAx>
      <c:valAx>
        <c:axId val="119401472"/>
        <c:scaling>
          <c:orientation val="minMax"/>
          <c:max val="13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200" b="0"/>
                  <a:t>Number</a:t>
                </a:r>
                <a:r>
                  <a:rPr lang="en-US" sz="1200" b="0" baseline="0"/>
                  <a:t> of Blooms</a:t>
                </a:r>
                <a:endParaRPr lang="en-US" sz="1200" b="0"/>
              </a:p>
            </c:rich>
          </c:tx>
          <c:layout>
            <c:manualLayout>
              <c:xMode val="edge"/>
              <c:yMode val="edge"/>
              <c:x val="8.4603420909346895E-3"/>
              <c:y val="0.3777932341307139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19399552"/>
        <c:crosses val="autoZero"/>
        <c:crossBetween val="midCat"/>
        <c:majorUnit val="10"/>
      </c:valAx>
    </c:plotArea>
    <c:legend>
      <c:legendPos val="r"/>
      <c:layout>
        <c:manualLayout>
          <c:xMode val="edge"/>
          <c:yMode val="edge"/>
          <c:x val="0.81916629435239896"/>
          <c:y val="0.19513828753694201"/>
          <c:w val="0.15017118314220201"/>
          <c:h val="8.507691182068319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Number</a:t>
            </a:r>
            <a:r>
              <a:rPr lang="en-US" baseline="0"/>
              <a:t> of Blooms per Calendar Date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3128440675684799"/>
          <c:y val="0.15235392367397901"/>
          <c:w val="0.64535298472306302"/>
          <c:h val="0.70571897764116398"/>
        </c:manualLayout>
      </c:layout>
      <c:scatterChart>
        <c:scatterStyle val="lineMarker"/>
        <c:varyColors val="0"/>
        <c:ser>
          <c:idx val="0"/>
          <c:order val="0"/>
          <c:tx>
            <c:v>Carolina Springbeauty</c:v>
          </c:tx>
          <c:spPr>
            <a:ln w="28575">
              <a:noFill/>
            </a:ln>
          </c:spPr>
          <c:xVal>
            <c:numRef>
              <c:f>pvt_Summary_of_Species_by_Year!$E$625:$E$686</c:f>
              <c:numCache>
                <c:formatCode>d\-mmm</c:formatCode>
                <c:ptCount val="62"/>
                <c:pt idx="0">
                  <c:v>95</c:v>
                </c:pt>
                <c:pt idx="1">
                  <c:v>95</c:v>
                </c:pt>
                <c:pt idx="2">
                  <c:v>95</c:v>
                </c:pt>
                <c:pt idx="3">
                  <c:v>97</c:v>
                </c:pt>
                <c:pt idx="4">
                  <c:v>97</c:v>
                </c:pt>
                <c:pt idx="5">
                  <c:v>97</c:v>
                </c:pt>
                <c:pt idx="6">
                  <c:v>102</c:v>
                </c:pt>
                <c:pt idx="7">
                  <c:v>102</c:v>
                </c:pt>
                <c:pt idx="8">
                  <c:v>102</c:v>
                </c:pt>
                <c:pt idx="9">
                  <c:v>112</c:v>
                </c:pt>
                <c:pt idx="10">
                  <c:v>112</c:v>
                </c:pt>
                <c:pt idx="11">
                  <c:v>112</c:v>
                </c:pt>
                <c:pt idx="12">
                  <c:v>116</c:v>
                </c:pt>
                <c:pt idx="13">
                  <c:v>116</c:v>
                </c:pt>
                <c:pt idx="14">
                  <c:v>116</c:v>
                </c:pt>
                <c:pt idx="15">
                  <c:v>119</c:v>
                </c:pt>
                <c:pt idx="16">
                  <c:v>119</c:v>
                </c:pt>
                <c:pt idx="17">
                  <c:v>119</c:v>
                </c:pt>
                <c:pt idx="18">
                  <c:v>123</c:v>
                </c:pt>
                <c:pt idx="19">
                  <c:v>123</c:v>
                </c:pt>
                <c:pt idx="20">
                  <c:v>128</c:v>
                </c:pt>
                <c:pt idx="21">
                  <c:v>128</c:v>
                </c:pt>
                <c:pt idx="22">
                  <c:v>130</c:v>
                </c:pt>
                <c:pt idx="23">
                  <c:v>130</c:v>
                </c:pt>
                <c:pt idx="24">
                  <c:v>134</c:v>
                </c:pt>
                <c:pt idx="25">
                  <c:v>134</c:v>
                </c:pt>
                <c:pt idx="26">
                  <c:v>137</c:v>
                </c:pt>
                <c:pt idx="27">
                  <c:v>76</c:v>
                </c:pt>
                <c:pt idx="28">
                  <c:v>76</c:v>
                </c:pt>
                <c:pt idx="29">
                  <c:v>81</c:v>
                </c:pt>
                <c:pt idx="30">
                  <c:v>81</c:v>
                </c:pt>
                <c:pt idx="31">
                  <c:v>81</c:v>
                </c:pt>
                <c:pt idx="32">
                  <c:v>87</c:v>
                </c:pt>
                <c:pt idx="33">
                  <c:v>87</c:v>
                </c:pt>
                <c:pt idx="34">
                  <c:v>87</c:v>
                </c:pt>
                <c:pt idx="35">
                  <c:v>89</c:v>
                </c:pt>
                <c:pt idx="36">
                  <c:v>89</c:v>
                </c:pt>
                <c:pt idx="37">
                  <c:v>89</c:v>
                </c:pt>
                <c:pt idx="38">
                  <c:v>94</c:v>
                </c:pt>
                <c:pt idx="39">
                  <c:v>94</c:v>
                </c:pt>
                <c:pt idx="40">
                  <c:v>94</c:v>
                </c:pt>
                <c:pt idx="41">
                  <c:v>101</c:v>
                </c:pt>
                <c:pt idx="42">
                  <c:v>101</c:v>
                </c:pt>
                <c:pt idx="43">
                  <c:v>114</c:v>
                </c:pt>
                <c:pt idx="44">
                  <c:v>114</c:v>
                </c:pt>
                <c:pt idx="45">
                  <c:v>99</c:v>
                </c:pt>
                <c:pt idx="46">
                  <c:v>99</c:v>
                </c:pt>
                <c:pt idx="47">
                  <c:v>99</c:v>
                </c:pt>
                <c:pt idx="48">
                  <c:v>108</c:v>
                </c:pt>
                <c:pt idx="49">
                  <c:v>108</c:v>
                </c:pt>
                <c:pt idx="50">
                  <c:v>108</c:v>
                </c:pt>
                <c:pt idx="51">
                  <c:v>115</c:v>
                </c:pt>
                <c:pt idx="52">
                  <c:v>115</c:v>
                </c:pt>
                <c:pt idx="53">
                  <c:v>115</c:v>
                </c:pt>
                <c:pt idx="54">
                  <c:v>121</c:v>
                </c:pt>
                <c:pt idx="55">
                  <c:v>121</c:v>
                </c:pt>
                <c:pt idx="56">
                  <c:v>121</c:v>
                </c:pt>
                <c:pt idx="57">
                  <c:v>127</c:v>
                </c:pt>
                <c:pt idx="58">
                  <c:v>127</c:v>
                </c:pt>
                <c:pt idx="59">
                  <c:v>131</c:v>
                </c:pt>
                <c:pt idx="60">
                  <c:v>131</c:v>
                </c:pt>
                <c:pt idx="61">
                  <c:v>142</c:v>
                </c:pt>
              </c:numCache>
            </c:numRef>
          </c:xVal>
          <c:yVal>
            <c:numRef>
              <c:f>pvt_Summary_of_Species_by_Year!$F$625:$F$686</c:f>
              <c:numCache>
                <c:formatCode>General</c:formatCode>
                <c:ptCount val="62"/>
                <c:pt idx="0">
                  <c:v>3</c:v>
                </c:pt>
                <c:pt idx="1">
                  <c:v>27</c:v>
                </c:pt>
                <c:pt idx="2">
                  <c:v>23</c:v>
                </c:pt>
                <c:pt idx="3">
                  <c:v>0</c:v>
                </c:pt>
                <c:pt idx="4">
                  <c:v>11</c:v>
                </c:pt>
                <c:pt idx="5">
                  <c:v>50</c:v>
                </c:pt>
                <c:pt idx="6">
                  <c:v>19</c:v>
                </c:pt>
                <c:pt idx="7">
                  <c:v>40</c:v>
                </c:pt>
                <c:pt idx="8">
                  <c:v>123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3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2</c:v>
                </c:pt>
                <c:pt idx="28">
                  <c:v>3</c:v>
                </c:pt>
                <c:pt idx="29">
                  <c:v>1</c:v>
                </c:pt>
                <c:pt idx="30">
                  <c:v>16</c:v>
                </c:pt>
                <c:pt idx="31">
                  <c:v>30</c:v>
                </c:pt>
                <c:pt idx="32">
                  <c:v>6</c:v>
                </c:pt>
                <c:pt idx="33">
                  <c:v>50</c:v>
                </c:pt>
                <c:pt idx="34">
                  <c:v>112</c:v>
                </c:pt>
                <c:pt idx="35">
                  <c:v>1</c:v>
                </c:pt>
                <c:pt idx="36">
                  <c:v>19</c:v>
                </c:pt>
                <c:pt idx="37">
                  <c:v>31</c:v>
                </c:pt>
                <c:pt idx="38">
                  <c:v>0</c:v>
                </c:pt>
                <c:pt idx="39">
                  <c:v>1</c:v>
                </c:pt>
                <c:pt idx="40">
                  <c:v>3</c:v>
                </c:pt>
                <c:pt idx="41">
                  <c:v>1</c:v>
                </c:pt>
                <c:pt idx="42">
                  <c:v>7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4</c:v>
                </c:pt>
                <c:pt idx="48">
                  <c:v>8</c:v>
                </c:pt>
                <c:pt idx="49">
                  <c:v>10</c:v>
                </c:pt>
                <c:pt idx="50">
                  <c:v>53</c:v>
                </c:pt>
                <c:pt idx="51">
                  <c:v>8</c:v>
                </c:pt>
                <c:pt idx="52">
                  <c:v>7</c:v>
                </c:pt>
                <c:pt idx="53">
                  <c:v>61</c:v>
                </c:pt>
                <c:pt idx="54">
                  <c:v>2</c:v>
                </c:pt>
                <c:pt idx="55">
                  <c:v>0</c:v>
                </c:pt>
                <c:pt idx="56">
                  <c:v>6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</c:numCache>
            </c:numRef>
          </c:yVal>
          <c:smooth val="0"/>
        </c:ser>
        <c:ser>
          <c:idx val="1"/>
          <c:order val="1"/>
          <c:tx>
            <c:v>2011</c:v>
          </c:tx>
          <c:spPr>
            <a:ln w="28575">
              <a:noFill/>
            </a:ln>
          </c:spPr>
          <c:xVal>
            <c:numRef>
              <c:f>pvt_Summary_of_Species_by_Year!$E$625:$E$651</c:f>
              <c:numCache>
                <c:formatCode>d\-mmm</c:formatCode>
                <c:ptCount val="27"/>
                <c:pt idx="0">
                  <c:v>95</c:v>
                </c:pt>
                <c:pt idx="1">
                  <c:v>95</c:v>
                </c:pt>
                <c:pt idx="2">
                  <c:v>95</c:v>
                </c:pt>
                <c:pt idx="3">
                  <c:v>97</c:v>
                </c:pt>
                <c:pt idx="4">
                  <c:v>97</c:v>
                </c:pt>
                <c:pt idx="5">
                  <c:v>97</c:v>
                </c:pt>
                <c:pt idx="6">
                  <c:v>102</c:v>
                </c:pt>
                <c:pt idx="7">
                  <c:v>102</c:v>
                </c:pt>
                <c:pt idx="8">
                  <c:v>102</c:v>
                </c:pt>
                <c:pt idx="9">
                  <c:v>112</c:v>
                </c:pt>
                <c:pt idx="10">
                  <c:v>112</c:v>
                </c:pt>
                <c:pt idx="11">
                  <c:v>112</c:v>
                </c:pt>
                <c:pt idx="12">
                  <c:v>116</c:v>
                </c:pt>
                <c:pt idx="13">
                  <c:v>116</c:v>
                </c:pt>
                <c:pt idx="14">
                  <c:v>116</c:v>
                </c:pt>
                <c:pt idx="15">
                  <c:v>119</c:v>
                </c:pt>
                <c:pt idx="16">
                  <c:v>119</c:v>
                </c:pt>
                <c:pt idx="17">
                  <c:v>119</c:v>
                </c:pt>
                <c:pt idx="18">
                  <c:v>123</c:v>
                </c:pt>
                <c:pt idx="19">
                  <c:v>123</c:v>
                </c:pt>
                <c:pt idx="20">
                  <c:v>128</c:v>
                </c:pt>
                <c:pt idx="21">
                  <c:v>128</c:v>
                </c:pt>
                <c:pt idx="22">
                  <c:v>130</c:v>
                </c:pt>
                <c:pt idx="23">
                  <c:v>130</c:v>
                </c:pt>
                <c:pt idx="24">
                  <c:v>134</c:v>
                </c:pt>
                <c:pt idx="25">
                  <c:v>134</c:v>
                </c:pt>
                <c:pt idx="26">
                  <c:v>137</c:v>
                </c:pt>
              </c:numCache>
            </c:numRef>
          </c:xVal>
          <c:yVal>
            <c:numRef>
              <c:f>pvt_Summary_of_Species_by_Year!$F$625:$F$651</c:f>
              <c:numCache>
                <c:formatCode>General</c:formatCode>
                <c:ptCount val="27"/>
                <c:pt idx="0">
                  <c:v>3</c:v>
                </c:pt>
                <c:pt idx="1">
                  <c:v>27</c:v>
                </c:pt>
                <c:pt idx="2">
                  <c:v>23</c:v>
                </c:pt>
                <c:pt idx="3">
                  <c:v>0</c:v>
                </c:pt>
                <c:pt idx="4">
                  <c:v>11</c:v>
                </c:pt>
                <c:pt idx="5">
                  <c:v>50</c:v>
                </c:pt>
                <c:pt idx="6">
                  <c:v>19</c:v>
                </c:pt>
                <c:pt idx="7">
                  <c:v>40</c:v>
                </c:pt>
                <c:pt idx="8">
                  <c:v>123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3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9431552"/>
        <c:axId val="119433472"/>
      </c:scatterChart>
      <c:valAx>
        <c:axId val="119431552"/>
        <c:scaling>
          <c:orientation val="minMax"/>
          <c:max val="140"/>
          <c:min val="7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400" b="0"/>
                  <a:t>Calendar Date</a:t>
                </a:r>
              </a:p>
            </c:rich>
          </c:tx>
          <c:layout>
            <c:manualLayout>
              <c:xMode val="edge"/>
              <c:yMode val="edge"/>
              <c:x val="0.37129668887542899"/>
              <c:y val="0.92730837789661302"/>
            </c:manualLayout>
          </c:layout>
          <c:overlay val="0"/>
        </c:title>
        <c:numFmt formatCode="d\-mmm" sourceLinked="1"/>
        <c:majorTickMark val="out"/>
        <c:minorTickMark val="none"/>
        <c:tickLblPos val="nextTo"/>
        <c:crossAx val="119433472"/>
        <c:crosses val="autoZero"/>
        <c:crossBetween val="midCat"/>
      </c:valAx>
      <c:valAx>
        <c:axId val="119433472"/>
        <c:scaling>
          <c:orientation val="minMax"/>
          <c:max val="13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400" b="0"/>
                  <a:t>Number</a:t>
                </a:r>
                <a:r>
                  <a:rPr lang="en-US" sz="1400" b="0" baseline="0"/>
                  <a:t> of Blooms</a:t>
                </a:r>
                <a:endParaRPr lang="en-US" sz="1400" b="0"/>
              </a:p>
            </c:rich>
          </c:tx>
          <c:layout>
            <c:manualLayout>
              <c:xMode val="edge"/>
              <c:yMode val="edge"/>
              <c:x val="1.7007369271148799E-2"/>
              <c:y val="0.302522772888683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19431552"/>
        <c:crosses val="autoZero"/>
        <c:crossBetween val="midCat"/>
        <c:majorUnit val="10"/>
      </c:valAx>
    </c:plotArea>
    <c:legend>
      <c:legendPos val="r"/>
      <c:layout>
        <c:manualLayout>
          <c:xMode val="edge"/>
          <c:yMode val="edge"/>
          <c:x val="0.82985009085402806"/>
          <c:y val="0.17353909638300599"/>
          <c:w val="0.15017118314220201"/>
          <c:h val="0.21691620720857399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0.82354</cdr:x>
      <cdr:y>0.40143</cdr:y>
    </cdr:from>
    <cdr:to>
      <cdr:x>0.98289</cdr:x>
      <cdr:y>0.80022</cdr:y>
    </cdr:to>
    <cdr:pic>
      <cdr:nvPicPr>
        <cdr:cNvPr id="2" name="Picture 1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7417359" y="2167216"/>
          <a:ext cx="1435288" cy="2152932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0.82354</cdr:x>
      <cdr:y>0.40143</cdr:y>
    </cdr:from>
    <cdr:to>
      <cdr:x>0.98289</cdr:x>
      <cdr:y>0.80022</cdr:y>
    </cdr:to>
    <cdr:pic>
      <cdr:nvPicPr>
        <cdr:cNvPr id="2" name="Picture 1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7417359" y="2167216"/>
          <a:ext cx="1435288" cy="2152932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0.82354</cdr:x>
      <cdr:y>0.40143</cdr:y>
    </cdr:from>
    <cdr:to>
      <cdr:x>0.98289</cdr:x>
      <cdr:y>0.80022</cdr:y>
    </cdr:to>
    <cdr:pic>
      <cdr:nvPicPr>
        <cdr:cNvPr id="2" name="Picture 1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7417359" y="2167216"/>
          <a:ext cx="1435288" cy="2152932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0.12821</cdr:x>
      <cdr:y>0.33369</cdr:y>
    </cdr:from>
    <cdr:to>
      <cdr:x>0.35513</cdr:x>
      <cdr:y>0.90909</cdr:y>
    </cdr:to>
    <cdr:sp macro="" textlink="">
      <cdr:nvSpPr>
        <cdr:cNvPr id="3" name="Oval 2"/>
        <cdr:cNvSpPr/>
      </cdr:nvSpPr>
      <cdr:spPr>
        <a:xfrm xmlns:a="http://schemas.openxmlformats.org/drawingml/2006/main">
          <a:off x="762000" y="1188720"/>
          <a:ext cx="1348740" cy="2049780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>
          <a:solidFill>
            <a:srgbClr val="FFFF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Tiffany</cp:lastModifiedBy>
  <cp:revision>4</cp:revision>
  <dcterms:created xsi:type="dcterms:W3CDTF">2014-01-21T16:38:00Z</dcterms:created>
  <dcterms:modified xsi:type="dcterms:W3CDTF">2017-03-28T18:08:00Z</dcterms:modified>
</cp:coreProperties>
</file>